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PROCURA GENERALE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artt. 1387 e seguenti e 1708 del codice civile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(rappresentato):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NOMINA E COSTITUISCE PROPRIO PROCURATORE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(procuratore):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conferendogli/le procura generale a compiere in suo nome e per suo conto tutti gli atti di ordinaria amministrazione del suo patrimonio, e in particolare: ______________________________________________. Per gli atti di straordinaria amministrazione occorre un'espressa indicazione (art. 1708 c.c.).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Il rappresentato dichiara di avere per rato e valido l'operato del procuratore nei limiti della presente procura, che resta valida fino al ______________ (o fino a revoca).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rappresentato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procura deve avere la stessa forma richiesta per l'atto da compiere (art. 1392 c.c.): per atti su immobili e per molti atti bancari va fatta dal notaio (atto pubblico o firma autenticata).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 Generale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