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ISTANZA DI AUTOTUTELA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Richiesta di annullamento o rettifica di un atto · L. 212/2000, artt. 10-quater e 10-quinquies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All'Agenzia delle Entrate · Direzione provinciale / Ufficio territoriale di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PEC dell'ufficio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istanza di autotutela (artt. 10-quater e 10-quinquies L. 212/2000)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PEC / email per le comunicazioni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Telefono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 qualità di (se rappresentante): ruolo e soggetto rappresentato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chiede l'annullamento ☐ totale ☐ parziale / la rettifica del seguente atto: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Tipo di atto (avviso di accertamento, comunicazione, cartella, avviso di liquidazione)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Numero / protocollo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2721"/>
        <w:gridCol w:w="170"/>
        <w:gridCol w:w="3685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Notificato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Anno d'imposta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Importo richiesto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per il seguente motivo: ☐ errore di persona ☐ errore di calcolo ☐ errore sull'individuazione del tributo ☐ errore materiale del contribuente facilmente riconoscibile ☐ errore sul presupposto d'imposta ☐ mancata considerazione di pagamenti regolarmente eseguiti ☐ mancanza di documenti poi presentati nei termini ☐ altro vizio di legittimità o infondatezza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Descrizione dei fatti e del vizio (cosa è sbagliato e perché)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Documenti allegati (quietanze, ricevute, dichiarazioni, contratti)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Chiede che ogni comunicazione sia inviata al recapito sopra indicato. Resta fermo il diritto di impugnare l'atto nei termini di legge.</w:t>
      </w: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contribuente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Di Autotutela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