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AFFITTO CON RISCATTO (RENT TO BUY)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traccia degli accordi · art. 23 D.L. 133/2014</w:t>
      </w:r>
    </w:p>
    <w:p>
      <w:pPr>
        <w:spacing w:before="120"/>
      </w:pPr>
      <w:r>
        <w:t>Traccia degli accordi tra le parti, da sottoporre al notaio: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Proprietario (concedente):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Futuro acquirente (conduttore):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 / immobile (descrizione, indirizzo, dati catastali o identificativi)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Prezzo di vendita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Termine per comprare (entro il)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010"/>
        <w:gridCol w:w="170"/>
        <w:gridCol w:w="3010"/>
        <w:gridCol w:w="170"/>
        <w:gridCol w:w="3106"/>
        <w:gridCol w:w="170"/>
      </w:tblGrid>
      <w:tr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Canone mensile totale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di cui per il godimento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10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di cui imputato al prezzo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10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 non compra, quota imputata al prezzo da restituire (%)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Spese e manutenzione a carico 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proprietario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futuro acquirente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Affitto Con Riscatto (Rent To Buy)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